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71C79">
      <w:pPr>
        <w:pStyle w:val="2"/>
        <w:jc w:val="right"/>
        <w:rPr>
          <w:rFonts w:ascii="Times New Roman" w:hAnsi="Times New Roman" w:eastAsia="宋体"/>
        </w:rPr>
      </w:pPr>
      <w:r>
        <w:rPr>
          <w:rFonts w:ascii="Times New Roman" w:hAnsi="Times New Roman" w:eastAsia="宋体"/>
        </w:rPr>
        <w:t>件编号：</w:t>
      </w:r>
      <w:r>
        <w:rPr>
          <w:rFonts w:ascii="Times New Roman" w:hAnsi="Times New Roman"/>
        </w:rPr>
        <w:t>AF-2</w:t>
      </w:r>
      <w:r>
        <w:rPr>
          <w:rFonts w:ascii="Times New Roman" w:hAnsi="Times New Roman" w:eastAsia="宋体"/>
        </w:rPr>
        <w:t>3</w:t>
      </w:r>
      <w:r>
        <w:rPr>
          <w:rFonts w:ascii="Times New Roman" w:hAnsi="Times New Roman"/>
        </w:rPr>
        <w:t>/</w:t>
      </w:r>
      <w:r>
        <w:rPr>
          <w:rFonts w:hint="eastAsia" w:ascii="Times New Roman" w:hAnsi="Times New Roman" w:eastAsia="宋体"/>
        </w:rPr>
        <w:t>06.4</w:t>
      </w:r>
    </w:p>
    <w:p w14:paraId="741C4923">
      <w:pPr>
        <w:jc w:val="right"/>
      </w:pPr>
      <w:r>
        <w:rPr>
          <w:rFonts w:hint="eastAsia"/>
          <w:bCs/>
          <w:sz w:val="24"/>
          <w:szCs w:val="32"/>
        </w:rPr>
        <w:t>版本日期：</w:t>
      </w:r>
      <w:r>
        <w:rPr>
          <w:sz w:val="24"/>
          <w:szCs w:val="24"/>
        </w:rPr>
        <w:t>202</w:t>
      </w:r>
      <w:r>
        <w:rPr>
          <w:rFonts w:hint="eastAsia"/>
          <w:sz w:val="24"/>
          <w:szCs w:val="24"/>
        </w:rPr>
        <w:t>5</w:t>
      </w:r>
      <w:r>
        <w:rPr>
          <w:sz w:val="24"/>
          <w:szCs w:val="24"/>
        </w:rPr>
        <w:t>-</w:t>
      </w:r>
      <w:r>
        <w:rPr>
          <w:rFonts w:hint="eastAsia"/>
          <w:sz w:val="24"/>
          <w:szCs w:val="24"/>
        </w:rPr>
        <w:t>05</w:t>
      </w:r>
      <w:r>
        <w:rPr>
          <w:sz w:val="24"/>
          <w:szCs w:val="24"/>
        </w:rPr>
        <w:t>-01</w:t>
      </w:r>
    </w:p>
    <w:p w14:paraId="7C2EB53A">
      <w:pPr>
        <w:autoSpaceDN w:val="0"/>
        <w:spacing w:line="520" w:lineRule="exact"/>
        <w:jc w:val="center"/>
        <w:rPr>
          <w:b/>
          <w:bCs/>
          <w:sz w:val="30"/>
          <w:szCs w:val="30"/>
        </w:rPr>
      </w:pPr>
      <w:r>
        <w:rPr>
          <w:b/>
          <w:sz w:val="30"/>
          <w:szCs w:val="30"/>
        </w:rPr>
        <w:t>徐州医科大学附属医院医学伦理委员会</w:t>
      </w:r>
    </w:p>
    <w:p w14:paraId="26EB7978">
      <w:pPr>
        <w:jc w:val="center"/>
        <w:rPr>
          <w:b/>
          <w:sz w:val="30"/>
          <w:szCs w:val="30"/>
        </w:rPr>
      </w:pPr>
      <w:r>
        <w:rPr>
          <w:rFonts w:hint="eastAsia"/>
          <w:b/>
          <w:sz w:val="30"/>
          <w:szCs w:val="30"/>
        </w:rPr>
        <w:t>知情同意书审查主审表</w:t>
      </w:r>
    </w:p>
    <w:p w14:paraId="329FACC3">
      <w:pPr>
        <w:jc w:val="center"/>
        <w:rPr>
          <w:rFonts w:ascii="Cambria" w:hAnsi="Cambria" w:cs="Cambria"/>
          <w:b/>
          <w:sz w:val="30"/>
          <w:szCs w:val="30"/>
        </w:rPr>
      </w:pPr>
      <w:r>
        <w:rPr>
          <w:rFonts w:hint="eastAsia"/>
          <w:b/>
          <w:sz w:val="30"/>
          <w:szCs w:val="30"/>
        </w:rPr>
        <w:t>（免除知情同意）</w:t>
      </w:r>
    </w:p>
    <w:p w14:paraId="32B38936">
      <w:pPr>
        <w:spacing w:line="520" w:lineRule="exact"/>
        <w:jc w:val="center"/>
        <w:rPr>
          <w:sz w:val="30"/>
          <w:szCs w:val="30"/>
        </w:rPr>
      </w:pPr>
    </w:p>
    <w:tbl>
      <w:tblPr>
        <w:tblStyle w:val="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20"/>
        <w:gridCol w:w="6396"/>
      </w:tblGrid>
      <w:tr w14:paraId="6BCE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trPr>
        <w:tc>
          <w:tcPr>
            <w:tcW w:w="2132" w:type="dxa"/>
            <w:gridSpan w:val="2"/>
            <w:vAlign w:val="center"/>
          </w:tcPr>
          <w:p w14:paraId="2CA3A453">
            <w:pPr>
              <w:spacing w:line="360" w:lineRule="auto"/>
              <w:jc w:val="center"/>
              <w:rPr>
                <w:rFonts w:hint="eastAsia" w:ascii="宋体" w:hAnsi="宋体"/>
                <w:szCs w:val="21"/>
              </w:rPr>
            </w:pPr>
            <w:r>
              <w:rPr>
                <w:rFonts w:ascii="宋体" w:hAnsi="宋体"/>
                <w:szCs w:val="21"/>
              </w:rPr>
              <w:t>项目名称</w:t>
            </w:r>
          </w:p>
        </w:tc>
        <w:tc>
          <w:tcPr>
            <w:tcW w:w="6396" w:type="dxa"/>
            <w:vAlign w:val="center"/>
          </w:tcPr>
          <w:p w14:paraId="1CE3D77A">
            <w:pPr>
              <w:pStyle w:val="14"/>
            </w:pPr>
          </w:p>
        </w:tc>
      </w:tr>
      <w:tr w14:paraId="32CA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132" w:type="dxa"/>
            <w:gridSpan w:val="2"/>
            <w:vAlign w:val="center"/>
          </w:tcPr>
          <w:p w14:paraId="5C3662D0">
            <w:pPr>
              <w:spacing w:line="360" w:lineRule="auto"/>
              <w:jc w:val="center"/>
              <w:rPr>
                <w:rFonts w:hint="eastAsia"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研究科室</w:t>
            </w:r>
          </w:p>
        </w:tc>
        <w:tc>
          <w:tcPr>
            <w:tcW w:w="6396" w:type="dxa"/>
            <w:vAlign w:val="center"/>
          </w:tcPr>
          <w:p w14:paraId="2D79C012">
            <w:pPr>
              <w:spacing w:line="360" w:lineRule="auto"/>
              <w:rPr>
                <w:rFonts w:hint="eastAsia" w:ascii="宋体" w:hAnsi="宋体"/>
                <w:szCs w:val="21"/>
              </w:rPr>
            </w:pPr>
          </w:p>
        </w:tc>
      </w:tr>
      <w:tr w14:paraId="264D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528" w:type="dxa"/>
            <w:gridSpan w:val="3"/>
            <w:vAlign w:val="center"/>
          </w:tcPr>
          <w:p w14:paraId="15C71814">
            <w:pPr>
              <w:autoSpaceDN w:val="0"/>
              <w:spacing w:line="360" w:lineRule="auto"/>
              <w:rPr>
                <w:rFonts w:hint="eastAsia" w:ascii="宋体" w:hAnsi="宋体"/>
                <w:szCs w:val="21"/>
              </w:rPr>
            </w:pPr>
            <w:r>
              <w:rPr>
                <w:rFonts w:ascii="宋体" w:hAnsi="宋体"/>
                <w:b/>
                <w:bCs/>
                <w:szCs w:val="21"/>
              </w:rPr>
              <w:t>一、利用以往临床诊断中获得的病历/生物标本的研究，申请免除知情同意</w:t>
            </w:r>
          </w:p>
          <w:p w14:paraId="11F36905">
            <w:pPr>
              <w:autoSpaceDN w:val="0"/>
              <w:spacing w:line="360" w:lineRule="auto"/>
              <w:rPr>
                <w:rFonts w:hint="eastAsia" w:ascii="宋体" w:hAnsi="宋体"/>
                <w:szCs w:val="21"/>
              </w:rPr>
            </w:pPr>
            <w:r>
              <w:rPr>
                <w:rFonts w:ascii="宋体" w:hAnsi="宋体"/>
                <w:szCs w:val="21"/>
              </w:rPr>
              <w:t>审查原则:通常情况下，医生必须寻求研究参与者对采集、分析、存放和/或再次使用人体材料或数据的同意意见；当研究涉及仅仅涉及极小的风险，并且要求病人/研究参与者的知情同意会使研究的实施不可行(例如，研究仅仅涉及摘录研究参与者病案的数据)，伦理委员会可以部分或全部免除知情同意(CI0MS第4条) ；病人有权知道其病历/标本可能用于研究，其拒绝或不同意参加研究，不是研究无法实施、免除知情同意的证据(CI0MS第4条) ；病人/研究参与者以前已明确地拒绝利用的医疗记录和标本，只有限公共卫生紧急需要时才可利用(CI0MS第4条)。</w:t>
            </w:r>
          </w:p>
          <w:p w14:paraId="4210AFAC">
            <w:pPr>
              <w:autoSpaceDN w:val="0"/>
              <w:spacing w:line="360" w:lineRule="auto"/>
              <w:rPr>
                <w:rFonts w:hint="eastAsia" w:ascii="宋体" w:hAnsi="宋体"/>
                <w:szCs w:val="21"/>
              </w:rPr>
            </w:pPr>
            <w:r>
              <w:rPr>
                <w:rFonts w:ascii="宋体" w:hAnsi="宋体"/>
                <w:szCs w:val="21"/>
              </w:rPr>
              <w:t>适用性判断：</w:t>
            </w:r>
            <w:r>
              <w:rPr>
                <w:rFonts w:ascii="宋体" w:hAnsi="宋体"/>
                <w:szCs w:val="21"/>
              </w:rPr>
              <w:br w:type="textWrapping"/>
            </w:r>
            <w:r>
              <w:rPr>
                <w:rFonts w:ascii="宋体" w:hAnsi="宋体"/>
                <w:szCs w:val="21"/>
              </w:rPr>
              <w:t>本项研究为：利用以往临床诊疗中获得的病历/生物标本的研究：口是，口否</w:t>
            </w:r>
            <w:r>
              <w:rPr>
                <w:rFonts w:ascii="宋体" w:hAnsi="宋体"/>
                <w:szCs w:val="21"/>
              </w:rPr>
              <w:br w:type="textWrapping"/>
            </w:r>
            <w:r>
              <w:rPr>
                <w:rFonts w:ascii="宋体" w:hAnsi="宋体"/>
                <w:szCs w:val="21"/>
              </w:rPr>
              <w:t>审查要素：</w:t>
            </w:r>
            <w:r>
              <w:rPr>
                <w:rFonts w:ascii="宋体" w:hAnsi="宋体"/>
                <w:szCs w:val="21"/>
              </w:rPr>
              <w:br w:type="textWrapping"/>
            </w:r>
            <w:r>
              <w:rPr>
                <w:rFonts w:ascii="宋体" w:hAnsi="宋体"/>
                <w:szCs w:val="21"/>
              </w:rPr>
              <w:t>1</w:t>
            </w:r>
            <w:r>
              <w:rPr>
                <w:rFonts w:hint="eastAsia" w:ascii="宋体" w:hAnsi="宋体"/>
                <w:szCs w:val="21"/>
              </w:rPr>
              <w:t>．</w:t>
            </w:r>
            <w:r>
              <w:rPr>
                <w:rFonts w:ascii="宋体" w:hAnsi="宋体"/>
                <w:szCs w:val="21"/>
              </w:rPr>
              <w:t>研究目的是重要的：口是，口否</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研究对研究参与者的风险不大于最小风险：口是，口否</w:t>
            </w:r>
            <w:r>
              <w:rPr>
                <w:rFonts w:ascii="宋体" w:hAnsi="宋体"/>
                <w:szCs w:val="21"/>
              </w:rPr>
              <w:br w:type="textWrapping"/>
            </w:r>
            <w:r>
              <w:rPr>
                <w:rFonts w:ascii="宋体" w:hAnsi="宋体"/>
                <w:szCs w:val="21"/>
              </w:rPr>
              <w:t>3</w:t>
            </w:r>
            <w:r>
              <w:rPr>
                <w:rFonts w:hint="eastAsia" w:ascii="宋体" w:hAnsi="宋体"/>
                <w:szCs w:val="21"/>
              </w:rPr>
              <w:t>．</w:t>
            </w:r>
            <w:r>
              <w:rPr>
                <w:rFonts w:ascii="宋体" w:hAnsi="宋体"/>
                <w:szCs w:val="21"/>
              </w:rPr>
              <w:t>免除知情同意不会对研究参与者的权利和健康产生不利的影响：口是，口否</w:t>
            </w:r>
          </w:p>
          <w:p w14:paraId="15301E92">
            <w:pPr>
              <w:autoSpaceDN w:val="0"/>
              <w:spacing w:line="360" w:lineRule="auto"/>
              <w:rPr>
                <w:rFonts w:hint="eastAsia" w:ascii="宋体" w:hAnsi="宋体"/>
                <w:szCs w:val="21"/>
              </w:rPr>
            </w:pPr>
            <w:r>
              <w:rPr>
                <w:rFonts w:hint="eastAsia" w:ascii="宋体" w:hAnsi="宋体"/>
                <w:szCs w:val="21"/>
              </w:rPr>
              <w:t>4．研究需要获得研究参与者的隐私及个人身份信息：</w:t>
            </w:r>
            <w:r>
              <w:rPr>
                <w:rFonts w:ascii="宋体" w:hAnsi="宋体"/>
                <w:szCs w:val="21"/>
              </w:rPr>
              <w:t>口是，口否</w:t>
            </w:r>
            <w:r>
              <w:rPr>
                <w:rFonts w:hint="eastAsia" w:ascii="宋体" w:hAnsi="宋体"/>
                <w:szCs w:val="21"/>
              </w:rPr>
              <w:t xml:space="preserve"> </w:t>
            </w:r>
            <w:r>
              <w:rPr>
                <w:rFonts w:ascii="宋体" w:hAnsi="宋体"/>
                <w:szCs w:val="21"/>
              </w:rPr>
              <w:br w:type="textWrapping"/>
            </w:r>
            <w:r>
              <w:rPr>
                <w:rFonts w:hint="eastAsia" w:ascii="宋体" w:hAnsi="宋体"/>
                <w:szCs w:val="21"/>
              </w:rPr>
              <w:t>5．</w:t>
            </w:r>
            <w:r>
              <w:rPr>
                <w:rFonts w:ascii="宋体" w:hAnsi="宋体"/>
                <w:szCs w:val="21"/>
              </w:rPr>
              <w:t>研究参与者的隐私和个人身份信息得到保护：口是，口否</w:t>
            </w:r>
            <w:r>
              <w:rPr>
                <w:rFonts w:ascii="宋体" w:hAnsi="宋体"/>
                <w:szCs w:val="21"/>
              </w:rPr>
              <w:br w:type="textWrapping"/>
            </w:r>
            <w:r>
              <w:rPr>
                <w:rFonts w:hint="eastAsia" w:ascii="宋体" w:hAnsi="宋体"/>
                <w:szCs w:val="21"/>
              </w:rPr>
              <w:t>6．</w:t>
            </w:r>
            <w:r>
              <w:rPr>
                <w:rFonts w:ascii="宋体" w:hAnsi="宋体"/>
                <w:szCs w:val="21"/>
              </w:rPr>
              <w:t xml:space="preserve">若规定需获取知情同意，研究将无法进行(病人有权知道其病历/标本可能用于研究，其拒绝或不同意参加研究，不是研究无法实施、免除知情同意的理由)：口是，口否    </w:t>
            </w:r>
          </w:p>
          <w:p w14:paraId="72118CA5">
            <w:pPr>
              <w:spacing w:line="360" w:lineRule="auto"/>
              <w:rPr>
                <w:rFonts w:hint="eastAsia" w:ascii="宋体" w:hAnsi="宋体"/>
                <w:szCs w:val="21"/>
              </w:rPr>
            </w:pPr>
            <w:r>
              <w:rPr>
                <w:rFonts w:hint="eastAsia" w:ascii="宋体" w:hAnsi="宋体"/>
                <w:szCs w:val="21"/>
              </w:rPr>
              <w:t>7．</w:t>
            </w:r>
            <w:r>
              <w:rPr>
                <w:rFonts w:ascii="宋体" w:hAnsi="宋体"/>
                <w:szCs w:val="21"/>
              </w:rPr>
              <w:t>本研究不利用病人/研究参与者以前己明确地拒绝利用的医疗记录和标本：口是，口否</w:t>
            </w:r>
          </w:p>
        </w:tc>
      </w:tr>
      <w:tr w14:paraId="012B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528" w:type="dxa"/>
            <w:gridSpan w:val="3"/>
            <w:vAlign w:val="center"/>
          </w:tcPr>
          <w:p w14:paraId="080D4C0F">
            <w:pPr>
              <w:autoSpaceDN w:val="0"/>
              <w:spacing w:line="360" w:lineRule="auto"/>
              <w:rPr>
                <w:rFonts w:hint="eastAsia" w:ascii="宋体" w:hAnsi="宋体"/>
                <w:szCs w:val="21"/>
              </w:rPr>
            </w:pPr>
            <w:r>
              <w:rPr>
                <w:rFonts w:ascii="宋体" w:hAnsi="宋体"/>
                <w:b/>
                <w:bCs/>
                <w:szCs w:val="21"/>
              </w:rPr>
              <w:t>二、研究病历/生物标本的二次利用，申请免除知情同意</w:t>
            </w:r>
            <w:r>
              <w:rPr>
                <w:rFonts w:ascii="宋体" w:hAnsi="宋体"/>
                <w:szCs w:val="21"/>
              </w:rPr>
              <w:br w:type="textWrapping"/>
            </w:r>
            <w:r>
              <w:rPr>
                <w:rFonts w:ascii="宋体" w:hAnsi="宋体"/>
                <w:szCs w:val="21"/>
              </w:rPr>
              <w:t>审查原则：如果最初处于研究目的、经知情同意而收集的病历或标本，二次利用通常受到原知情同意条件的限制(C10MS第4条)；重要的是在最初的知情同意过程中预见将来利用这些病历或标本用于研究的计划；如有必要，征求研究参与者同意。</w:t>
            </w:r>
            <w:r>
              <w:rPr>
                <w:rFonts w:ascii="宋体" w:hAnsi="宋体"/>
                <w:szCs w:val="21"/>
              </w:rPr>
              <w:br w:type="textWrapping"/>
            </w:r>
            <w:r>
              <w:rPr>
                <w:rFonts w:ascii="宋体" w:hAnsi="宋体"/>
                <w:szCs w:val="21"/>
              </w:rPr>
              <w:t>适用性判断:</w:t>
            </w:r>
            <w:r>
              <w:rPr>
                <w:rFonts w:ascii="宋体" w:hAnsi="宋体"/>
                <w:szCs w:val="21"/>
              </w:rPr>
              <w:br w:type="textWrapping"/>
            </w:r>
            <w:r>
              <w:rPr>
                <w:rFonts w:ascii="宋体" w:hAnsi="宋体"/>
                <w:szCs w:val="21"/>
              </w:rPr>
              <w:t>1</w:t>
            </w:r>
            <w:r>
              <w:rPr>
                <w:rFonts w:hint="eastAsia" w:ascii="宋体" w:hAnsi="宋体"/>
                <w:szCs w:val="21"/>
              </w:rPr>
              <w:t>．</w:t>
            </w:r>
            <w:r>
              <w:rPr>
                <w:rFonts w:ascii="宋体" w:hAnsi="宋体"/>
                <w:szCs w:val="21"/>
              </w:rPr>
              <w:t>本项研究为：研究病历与生物标本的二次利用，即利用以往研究项目、经知情同意收集的病历或标本进行研究，申请免除知情同意：口是，口否</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以往研究已获得研究参与者的书面同意，允许其他的研究项目使用其病历或标本：口是，口否</w:t>
            </w:r>
            <w:r>
              <w:rPr>
                <w:rFonts w:ascii="宋体" w:hAnsi="宋体"/>
                <w:szCs w:val="21"/>
              </w:rPr>
              <w:br w:type="textWrapping"/>
            </w:r>
            <w:r>
              <w:rPr>
                <w:rFonts w:ascii="宋体" w:hAnsi="宋体"/>
                <w:szCs w:val="21"/>
              </w:rPr>
              <w:t>3</w:t>
            </w:r>
            <w:r>
              <w:rPr>
                <w:rFonts w:hint="eastAsia" w:ascii="宋体" w:hAnsi="宋体"/>
                <w:szCs w:val="21"/>
              </w:rPr>
              <w:t>．</w:t>
            </w:r>
            <w:r>
              <w:rPr>
                <w:rFonts w:ascii="宋体" w:hAnsi="宋体"/>
                <w:szCs w:val="21"/>
              </w:rPr>
              <w:t>本次研究符合原知情同意的许可条件：口是，口否</w:t>
            </w:r>
            <w:r>
              <w:rPr>
                <w:rFonts w:ascii="宋体" w:hAnsi="宋体"/>
                <w:szCs w:val="21"/>
              </w:rPr>
              <w:br w:type="textWrapping"/>
            </w:r>
            <w:r>
              <w:rPr>
                <w:rFonts w:ascii="宋体" w:hAnsi="宋体"/>
                <w:szCs w:val="21"/>
              </w:rPr>
              <w:t>4</w:t>
            </w:r>
            <w:r>
              <w:rPr>
                <w:rFonts w:hint="eastAsia" w:ascii="宋体" w:hAnsi="宋体"/>
                <w:szCs w:val="21"/>
              </w:rPr>
              <w:t>．</w:t>
            </w:r>
            <w:r>
              <w:rPr>
                <w:rFonts w:ascii="宋体" w:hAnsi="宋体"/>
                <w:szCs w:val="21"/>
              </w:rPr>
              <w:t>研究参与者的隐私和身份信息的保密得到保证：口是，口否</w:t>
            </w:r>
          </w:p>
        </w:tc>
      </w:tr>
      <w:tr w14:paraId="07E6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7F7007C2">
            <w:pPr>
              <w:spacing w:line="360" w:lineRule="auto"/>
              <w:rPr>
                <w:rFonts w:hint="eastAsia" w:ascii="宋体" w:hAnsi="宋体"/>
                <w:szCs w:val="21"/>
              </w:rPr>
            </w:pPr>
            <w:r>
              <w:rPr>
                <w:rFonts w:ascii="宋体" w:hAnsi="宋体"/>
                <w:b/>
                <w:bCs/>
                <w:szCs w:val="21"/>
              </w:rPr>
              <w:t>审查意见</w:t>
            </w:r>
          </w:p>
        </w:tc>
      </w:tr>
      <w:tr w14:paraId="5C79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528" w:type="dxa"/>
            <w:gridSpan w:val="3"/>
          </w:tcPr>
          <w:p w14:paraId="3344F00E">
            <w:pPr>
              <w:spacing w:line="360" w:lineRule="auto"/>
              <w:rPr>
                <w:rFonts w:hint="eastAsia" w:ascii="宋体" w:hAnsi="宋体"/>
                <w:szCs w:val="21"/>
              </w:rPr>
            </w:pPr>
            <w:r>
              <w:rPr>
                <w:rFonts w:ascii="宋体" w:hAnsi="宋体"/>
                <w:szCs w:val="21"/>
              </w:rPr>
              <w:t>建议：</w:t>
            </w:r>
          </w:p>
          <w:p w14:paraId="2E9B842C">
            <w:pPr>
              <w:spacing w:line="360" w:lineRule="auto"/>
              <w:ind w:firstLine="420" w:firstLineChars="200"/>
              <w:rPr>
                <w:rFonts w:ascii="宋体" w:hAnsi="宋体"/>
                <w:szCs w:val="21"/>
              </w:rPr>
            </w:pPr>
            <w:r>
              <w:rPr>
                <w:rFonts w:hint="eastAsia" w:ascii="宋体" w:hAnsi="宋体"/>
                <w:szCs w:val="21"/>
              </w:rPr>
              <w:t>□无</w:t>
            </w:r>
          </w:p>
          <w:p w14:paraId="1F2A4E99">
            <w:pPr>
              <w:spacing w:line="360" w:lineRule="auto"/>
              <w:ind w:firstLine="420" w:firstLineChars="200"/>
              <w:rPr>
                <w:rFonts w:ascii="宋体" w:hAnsi="宋体"/>
                <w:szCs w:val="21"/>
              </w:rPr>
            </w:pPr>
            <w:r>
              <w:rPr>
                <w:rFonts w:hint="eastAsia" w:ascii="宋体" w:hAnsi="宋体"/>
                <w:szCs w:val="21"/>
              </w:rPr>
              <w:t>□有：（请列出）</w:t>
            </w:r>
          </w:p>
          <w:p w14:paraId="76BA19B5">
            <w:pPr>
              <w:spacing w:line="360" w:lineRule="auto"/>
              <w:rPr>
                <w:rFonts w:hint="eastAsia" w:ascii="宋体" w:hAnsi="宋体"/>
                <w:szCs w:val="21"/>
              </w:rPr>
            </w:pPr>
          </w:p>
        </w:tc>
      </w:tr>
      <w:tr w14:paraId="62C8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4A66253C">
            <w:pPr>
              <w:spacing w:line="360" w:lineRule="auto"/>
              <w:rPr>
                <w:rFonts w:ascii="宋体" w:hAnsi="宋体"/>
                <w:szCs w:val="21"/>
              </w:rPr>
            </w:pPr>
            <w:r>
              <w:rPr>
                <w:rFonts w:ascii="宋体" w:hAnsi="宋体"/>
                <w:szCs w:val="21"/>
              </w:rPr>
              <w:t>口 同意</w:t>
            </w:r>
            <w:r>
              <w:rPr>
                <w:rFonts w:hint="eastAsia" w:ascii="宋体" w:hAnsi="宋体"/>
                <w:szCs w:val="21"/>
                <w:lang w:eastAsia="zh-CN"/>
              </w:rPr>
              <w:t>（</w:t>
            </w:r>
            <w:r>
              <w:rPr>
                <w:rFonts w:hint="eastAsia" w:ascii="宋体" w:hAnsi="宋体"/>
                <w:szCs w:val="21"/>
                <w:lang w:val="en-US" w:eastAsia="zh-CN"/>
              </w:rPr>
              <w:t>同意研究项目</w:t>
            </w:r>
            <w:r>
              <w:rPr>
                <w:rFonts w:hint="eastAsia" w:ascii="宋体" w:hAnsi="宋体"/>
                <w:szCs w:val="21"/>
                <w:lang w:eastAsia="zh-CN"/>
              </w:rPr>
              <w:t>）</w:t>
            </w:r>
            <w:r>
              <w:rPr>
                <w:rFonts w:ascii="宋体" w:hAnsi="宋体"/>
                <w:szCs w:val="21"/>
              </w:rPr>
              <w:t>，口 作必要的修正后同意</w:t>
            </w:r>
            <w:r>
              <w:rPr>
                <w:rFonts w:hint="eastAsia" w:ascii="宋体" w:hAnsi="宋体"/>
                <w:szCs w:val="21"/>
              </w:rPr>
              <w:t>（</w:t>
            </w:r>
            <w:r>
              <w:rPr>
                <w:rFonts w:ascii="宋体" w:hAnsi="宋体"/>
                <w:szCs w:val="21"/>
              </w:rPr>
              <w:t>口</w:t>
            </w:r>
            <w:r>
              <w:rPr>
                <w:rFonts w:hint="eastAsia" w:ascii="宋体" w:hAnsi="宋体"/>
                <w:szCs w:val="21"/>
              </w:rPr>
              <w:t>简易程序审查，</w:t>
            </w:r>
            <w:r>
              <w:rPr>
                <w:rFonts w:ascii="宋体" w:hAnsi="宋体"/>
                <w:szCs w:val="21"/>
              </w:rPr>
              <w:t>口</w:t>
            </w:r>
            <w:r>
              <w:rPr>
                <w:rFonts w:hint="eastAsia" w:ascii="宋体" w:hAnsi="宋体"/>
                <w:szCs w:val="21"/>
              </w:rPr>
              <w:t>会审）</w:t>
            </w:r>
            <w:r>
              <w:rPr>
                <w:rFonts w:ascii="宋体" w:hAnsi="宋体"/>
                <w:szCs w:val="21"/>
              </w:rPr>
              <w:t>，</w:t>
            </w:r>
          </w:p>
          <w:p w14:paraId="2DC1117B">
            <w:pPr>
              <w:spacing w:line="360" w:lineRule="auto"/>
              <w:rPr>
                <w:rFonts w:hint="eastAsia" w:ascii="宋体" w:hAnsi="宋体"/>
                <w:szCs w:val="21"/>
              </w:rPr>
            </w:pPr>
            <w:bookmarkStart w:id="0" w:name="_GoBack"/>
            <w:bookmarkEnd w:id="0"/>
            <w:r>
              <w:rPr>
                <w:rFonts w:ascii="宋体" w:hAnsi="宋体"/>
                <w:szCs w:val="21"/>
              </w:rPr>
              <w:t>口 不同意</w:t>
            </w:r>
          </w:p>
        </w:tc>
      </w:tr>
      <w:tr w14:paraId="1D94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3D771CB1">
            <w:pPr>
              <w:spacing w:line="360" w:lineRule="auto"/>
              <w:rPr>
                <w:rFonts w:hint="eastAsia" w:ascii="宋体" w:hAnsi="宋体"/>
                <w:szCs w:val="21"/>
              </w:rPr>
            </w:pPr>
            <w:r>
              <w:rPr>
                <w:szCs w:val="21"/>
              </w:rPr>
              <w:t>口 提交会议</w:t>
            </w:r>
            <w:r>
              <w:rPr>
                <w:rFonts w:hint="eastAsia"/>
                <w:szCs w:val="21"/>
              </w:rPr>
              <w:t xml:space="preserve">报告  </w:t>
            </w:r>
            <w:r>
              <w:rPr>
                <w:rFonts w:ascii="宋体" w:hAnsi="宋体"/>
                <w:szCs w:val="21"/>
              </w:rPr>
              <w:t>口 提交会议审查</w:t>
            </w:r>
          </w:p>
        </w:tc>
      </w:tr>
      <w:tr w14:paraId="446A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652A85C2">
            <w:pPr>
              <w:spacing w:line="360" w:lineRule="auto"/>
              <w:jc w:val="center"/>
              <w:rPr>
                <w:rFonts w:hint="eastAsia" w:ascii="宋体" w:hAnsi="宋体"/>
                <w:szCs w:val="21"/>
              </w:rPr>
            </w:pPr>
            <w:r>
              <w:rPr>
                <w:rFonts w:ascii="宋体" w:hAnsi="宋体"/>
                <w:szCs w:val="21"/>
              </w:rPr>
              <w:t>跟踪审查频率</w:t>
            </w:r>
          </w:p>
        </w:tc>
        <w:tc>
          <w:tcPr>
            <w:tcW w:w="6416" w:type="dxa"/>
            <w:gridSpan w:val="2"/>
          </w:tcPr>
          <w:p w14:paraId="2B5A5B37">
            <w:pPr>
              <w:spacing w:line="360" w:lineRule="auto"/>
              <w:rPr>
                <w:rFonts w:hint="eastAsia" w:ascii="宋体" w:hAnsi="宋体"/>
                <w:szCs w:val="21"/>
              </w:rPr>
            </w:pPr>
            <w:r>
              <w:rPr>
                <w:rFonts w:ascii="宋体" w:hAnsi="宋体"/>
                <w:szCs w:val="21"/>
              </w:rPr>
              <w:t>口 3个月，口 6个月，口 12个月，其他 ____个月</w:t>
            </w:r>
          </w:p>
        </w:tc>
      </w:tr>
      <w:tr w14:paraId="12FB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332188D9">
            <w:pPr>
              <w:spacing w:line="360" w:lineRule="auto"/>
              <w:jc w:val="center"/>
              <w:rPr>
                <w:rFonts w:hint="eastAsia" w:ascii="宋体" w:hAnsi="宋体"/>
                <w:szCs w:val="21"/>
              </w:rPr>
            </w:pPr>
            <w:r>
              <w:rPr>
                <w:rFonts w:ascii="宋体" w:hAnsi="宋体"/>
                <w:szCs w:val="21"/>
              </w:rPr>
              <w:t>主审委员声明</w:t>
            </w:r>
          </w:p>
        </w:tc>
        <w:tc>
          <w:tcPr>
            <w:tcW w:w="6416" w:type="dxa"/>
            <w:gridSpan w:val="2"/>
          </w:tcPr>
          <w:p w14:paraId="288BB716">
            <w:pPr>
              <w:spacing w:line="360" w:lineRule="auto"/>
              <w:rPr>
                <w:rFonts w:hint="eastAsia" w:ascii="宋体" w:hAnsi="宋体"/>
                <w:szCs w:val="21"/>
              </w:rPr>
            </w:pPr>
            <w:r>
              <w:rPr>
                <w:rFonts w:ascii="宋体" w:hAnsi="宋体"/>
                <w:szCs w:val="21"/>
              </w:rPr>
              <w:t>作为审查人员，我与该研究项目之间不存在相关的利益冲突</w:t>
            </w:r>
          </w:p>
        </w:tc>
      </w:tr>
      <w:tr w14:paraId="6031B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5A5E7CA9">
            <w:pPr>
              <w:spacing w:line="360" w:lineRule="auto"/>
              <w:jc w:val="center"/>
              <w:rPr>
                <w:rFonts w:hint="eastAsia" w:ascii="宋体" w:hAnsi="宋体"/>
                <w:szCs w:val="21"/>
              </w:rPr>
            </w:pPr>
            <w:r>
              <w:rPr>
                <w:rFonts w:ascii="宋体" w:hAnsi="宋体"/>
                <w:szCs w:val="21"/>
              </w:rPr>
              <w:t>主审委员签名/日期</w:t>
            </w:r>
          </w:p>
        </w:tc>
        <w:tc>
          <w:tcPr>
            <w:tcW w:w="6416" w:type="dxa"/>
            <w:gridSpan w:val="2"/>
          </w:tcPr>
          <w:p w14:paraId="75E152C8">
            <w:pPr>
              <w:spacing w:line="360" w:lineRule="auto"/>
              <w:rPr>
                <w:rFonts w:hint="eastAsia" w:ascii="宋体" w:hAnsi="宋体"/>
                <w:szCs w:val="21"/>
              </w:rPr>
            </w:pPr>
          </w:p>
        </w:tc>
      </w:tr>
    </w:tbl>
    <w:p w14:paraId="6E7AD5C6"/>
    <w:p w14:paraId="7967EEC8"/>
    <w:p w14:paraId="2340778D"/>
    <w:p w14:paraId="7B3730AA"/>
    <w:p w14:paraId="0F52DECD"/>
    <w:p w14:paraId="793A0775"/>
    <w:p w14:paraId="423CFB0E"/>
    <w:p w14:paraId="387823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92B41"/>
    <w:rsid w:val="00052172"/>
    <w:rsid w:val="000E6ADC"/>
    <w:rsid w:val="00117FA8"/>
    <w:rsid w:val="00187A4F"/>
    <w:rsid w:val="001C3B3C"/>
    <w:rsid w:val="00213562"/>
    <w:rsid w:val="00240787"/>
    <w:rsid w:val="00311ADF"/>
    <w:rsid w:val="00350377"/>
    <w:rsid w:val="003F05AC"/>
    <w:rsid w:val="003F7EA7"/>
    <w:rsid w:val="0044537A"/>
    <w:rsid w:val="004641A5"/>
    <w:rsid w:val="005D4205"/>
    <w:rsid w:val="006B77BC"/>
    <w:rsid w:val="00724362"/>
    <w:rsid w:val="00776B5B"/>
    <w:rsid w:val="00794E6C"/>
    <w:rsid w:val="00796385"/>
    <w:rsid w:val="007C37A0"/>
    <w:rsid w:val="00893BD0"/>
    <w:rsid w:val="008C7F28"/>
    <w:rsid w:val="009238FF"/>
    <w:rsid w:val="00961E6A"/>
    <w:rsid w:val="009B62AD"/>
    <w:rsid w:val="00B92B41"/>
    <w:rsid w:val="00BD752C"/>
    <w:rsid w:val="00C64761"/>
    <w:rsid w:val="00CA38D4"/>
    <w:rsid w:val="00CB588F"/>
    <w:rsid w:val="00CB663F"/>
    <w:rsid w:val="00D10652"/>
    <w:rsid w:val="00DE03DF"/>
    <w:rsid w:val="00E12C61"/>
    <w:rsid w:val="00E14EF5"/>
    <w:rsid w:val="00E96A98"/>
    <w:rsid w:val="00F9421B"/>
    <w:rsid w:val="60A51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qFormat/>
    <w:uiPriority w:val="0"/>
    <w:pPr>
      <w:keepNext/>
      <w:keepLines/>
      <w:spacing w:line="520" w:lineRule="exact"/>
      <w:jc w:val="center"/>
      <w:outlineLvl w:val="1"/>
    </w:pPr>
    <w:rPr>
      <w:rFonts w:ascii="Cambria" w:hAnsi="Cambria" w:eastAsia="Times New Roman"/>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semiHidden/>
    <w:uiPriority w:val="99"/>
    <w:rPr>
      <w:sz w:val="18"/>
      <w:szCs w:val="18"/>
    </w:rPr>
  </w:style>
  <w:style w:type="character" w:customStyle="1" w:styleId="12">
    <w:name w:val="页脚 字符"/>
    <w:basedOn w:val="9"/>
    <w:link w:val="5"/>
    <w:semiHidden/>
    <w:qFormat/>
    <w:uiPriority w:val="99"/>
    <w:rPr>
      <w:sz w:val="18"/>
      <w:szCs w:val="18"/>
    </w:rPr>
  </w:style>
  <w:style w:type="character" w:customStyle="1" w:styleId="13">
    <w:name w:val="标题 2 字符"/>
    <w:basedOn w:val="9"/>
    <w:link w:val="2"/>
    <w:qFormat/>
    <w:uiPriority w:val="0"/>
    <w:rPr>
      <w:rFonts w:ascii="Cambria" w:hAnsi="Cambria" w:eastAsia="Times New Roman" w:cs="Times New Roman"/>
      <w:bCs/>
      <w:sz w:val="24"/>
      <w:szCs w:val="32"/>
    </w:rPr>
  </w:style>
  <w:style w:type="paragraph" w:styleId="14">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15">
    <w:name w:val="批注文字 字符"/>
    <w:basedOn w:val="9"/>
    <w:link w:val="3"/>
    <w:qFormat/>
    <w:uiPriority w:val="99"/>
    <w:rPr>
      <w:rFonts w:ascii="Times New Roman" w:hAnsi="Times New Roman" w:eastAsia="宋体" w:cs="Times New Roman"/>
      <w:szCs w:val="20"/>
    </w:rPr>
  </w:style>
  <w:style w:type="character" w:customStyle="1" w:styleId="16">
    <w:name w:val="批注主题 字符"/>
    <w:basedOn w:val="15"/>
    <w:link w:val="7"/>
    <w:semiHidden/>
    <w:uiPriority w:val="99"/>
    <w:rPr>
      <w:rFonts w:ascii="Times New Roman" w:hAnsi="Times New Roman" w:eastAsia="宋体" w:cs="Times New Roman"/>
      <w:b/>
      <w:bCs/>
      <w:szCs w:val="20"/>
    </w:rPr>
  </w:style>
  <w:style w:type="character" w:customStyle="1" w:styleId="17">
    <w:name w:val="批注框文本 字符"/>
    <w:basedOn w:val="9"/>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2</Pages>
  <Words>1058</Words>
  <Characters>1100</Characters>
  <Lines>8</Lines>
  <Paragraphs>2</Paragraphs>
  <TotalTime>0</TotalTime>
  <ScaleCrop>false</ScaleCrop>
  <LinksUpToDate>false</LinksUpToDate>
  <CharactersWithSpaces>1118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2023-10-10T07:10:00Z</dcterms:created>
  <dc:creator>Micorosoft</dc:creator>
  <cp:lastModifiedBy>陈仁国</cp:lastModifiedBy>
  <dcterms:modified xsi:type="dcterms:W3CDTF">2025-04-21T02:27:53Z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eyJoZGlkIjoiNTY0NjViZjdhY2YyMzg3MzZiODA3Y2NmOWRmNzA5NDEiLCJ1c2VySWQiOiIxNTU1MjMzODE4In0=</vt:lpwstr>
  </property>
  <property fmtid="{D5CDD505-2E9C-101B-9397-08002B2CF9AE}" pid="3" name="KSOProductBuildVer">
    <vt:lpwstr>2052-12.1.0.20784</vt:lpwstr>
  </property>
  <property fmtid="{D5CDD505-2E9C-101B-9397-08002B2CF9AE}" pid="4" name="ICV">
    <vt:lpwstr>D1F9B6E176934303BD8E5B79599DF56A_12</vt:lpwstr>
  </property>
</Properties>
</file>